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292 vom 18. Juni 1991</w:t>
      </w:r>
    </w:p>
    <w:p>
      <w:r>
        <w:t>Bundesgericht (BGE), 1991-06-18, DE</w:t>
      </w:r>
    </w:p>
    <w:p>
      <w:r>
        <w:rPr>
          <w:b/>
        </w:rPr>
        <w:t xml:space="preserve">Quelle: </w:t>
      </w:r>
      <w:r>
        <w:t>https://mcp.opencaselaw.ch/entscheid/bge_117 IA 292</w:t>
      </w:r>
    </w:p>
    <w:p>
      <w:r>
        <w:t>FR: BGE 117 IA 292 du 18 juin 1991</w:t>
      </w:r>
    </w:p>
    <w:p>
      <w:r>
        <w:t>IT: BGE 117 IA 292 del 18 giugno 1991</w:t>
      </w:r>
    </w:p>
    <w:p>
      <w:pPr>
        <w:pStyle w:val="Heading2"/>
      </w:pPr>
      <w:r>
        <w:t>Regeste</w:t>
      </w:r>
    </w:p>
    <w:p>
      <w:r>
        <w:t>Regeste § 105 lit. a ZPO/AG; Art. 4 BV. Sicherstellung von Parteikosten. Nach § 105 lit. a ZPO/AG hat die Partei, die als Klägerin oder Widerklägerin auftritt, der Gegenpartei auf deren Begehren für die Parteikosten Sicherheit zu leisten, wenn sie in der Schweiz keinen Wohnsitz hat. Diese Kautionspflicht wird nur durch einen effektiven Wohnsitz in der Schweiz ausgeschlossen. Ein kantonaler Entscheid, der einen bloss fiktiven Wohnsitz im Sinne von Art. 24 Abs. 1 ZGB genügen lässt, verletzt das aus Art. 4 BV fliessende Willkürverbot.</w:t>
      </w:r>
    </w:p>
    <w:p>
      <w:pPr>
        <w:pStyle w:val="Heading2"/>
      </w:pPr>
      <w:r>
        <w:t>Erwägungen</w:t>
      </w:r>
    </w:p>
    <w:p>
      <w:r>
        <w:rPr>
          <w:b/>
        </w:rPr>
        <w:t>E. 1</w:t>
      </w:r>
    </w:p>
    <w:p>
      <w:r>
        <w:t>Zwischen G. als Kläger und der X. AG als Beklagten ist beim Bezirksgericht Baden ein Forderungsprozess rechtshängig. Nach Erhalt der Replik ersuchte die Beklagte den Gerichtspräsidenten von Baden, den Kläger zu verpflichten, für ihre Parteikosten Sicherheit zu leisten, und ihr nach Eingang dieser Sicherheit eine Frist von 20 Tagen zur Erstattung der Duplik einzuräumen. Der Gerichtspräsident wies das Gesuch ab. Eine von der X. AG dagegen erhobene Beschwerde wurde vom Obergericht des Kantons Aargau abgewiesen. Die X. AG beantragt dem Bundesgericht mit staatsrechtlicher Beschwerde, den obergerichtlichen Entscheid aufzuheben (...).</w:t>
      </w:r>
    </w:p>
    <w:p>
      <w:r>
        <w:rPr>
          <w:b/>
        </w:rPr>
        <w:t>E. 3</w:t>
      </w:r>
    </w:p>
    <w:p>
      <w:r>
        <w:t>Nach § 105 lit. a ZPO /AG hat die Partei, die als Klägerin oder Widerklägerin auftritt, der Gegenpartei auf deren Begehren für die Parteikosten Sicherheit zu leisten, wenn sie in der Schweiz keinen Wohnsitz hat und keine staatsvertragliche Vereinbarung sie von der Sicherheitsleistung befreit. Die Beschwerdeführerin hatte in ihrer Eingabe an den Bezirksgerichtspräsidenten geltend gemacht, der Beschwerdegegner sei nach Indonesien gezogen. Der Bezirksgerichtspräsident hat das Gesuch mit der Begründung abgewiesen, der Beschwerdegegner sei inzwischen wieder in Zürich angemeldet. In der Beschwerde ans Obergericht hat die Beschwerdeführerin darauf hingewiesen, dass der Beschwerdegegner gemäss Auskunft der Einwohnerkontrolle am 28. Juli 1990 wiederum ins Ausland weggezogen sei. Das Obergericht erachtet dieses Vorbringen zwar unter dem Gesichtspunkt des Novenrechts als zulässig. Es hält jedoch dafür, auch wenn der Beschwerdegegner seinen Wohnsitz in der Schweiz aufgegeben haben sollte, gelte gemäss Art. 24 Abs. 1 ZGB dennoch der bisherige Wohnsitz weiter, da die Beschwerdeführerin den Nachweis nicht zu leisten vermöge, dass der Beschwerdegegner im Ausland einen neuen Wohnsitz begründet habe. Die Beschwerdeführerin rügt, diese Erwägung beruhe auf willkürlicher Anwendung von § 105 ZPO /AG und verstosse damit gegen Art. 4 BV . BGE 117 Ia 292 S. 294 a) Willkürliche Rechtsanwendung liegt nach ständiger Rechtsprechung nicht schon dann vor, wenn eine andere Beurteilung als die vom kantonalen Richter getroffene ebenfalls vertretbar oder sogar zutreffender erschiene. Das Bundesgericht greift nur ein, wenn der angefochtene Entscheid offensichtlich unhaltbar ist, insbesondere eine Norm oder einen unumstrittenen Rechtsgrundsatz krass verletzt ( BGE 114 Ia 27 E. b, 218 E. 2a mit Hinweisen). b) Nach EICHENBERGER (Zivilrechtspflegegesetz des Kantons Aargau, N 3a zu § 105) gilt als Wohnsitz im Sinne von § 105 ZPO /AG nur die feste Niederlassung, nicht auch ein fiktiver Wohnsitz gemäss Art. 24 Abs. 1 ZGB . Eine andere Auffassung lässt sich auch für die übrigen Kantone, welche die Kautionspflicht kennen, nicht finden. Vielmehr äussern sich im gleichen Sinne ausdrücklich LEUCH (Kommentar zur Berner Zivilprozessordnung, 3. Aufl. 1956, N 4 zu Art. 70), STRÄULI/MESSMER (Kommentar zur Zürcherischen Zivilprozessordnung, 2. Aufl. 1982, N 6 zu § 73 ZPO /ZH), GULDENER (Schweizerisches Zivilprozessrecht, 3. Aufl. 1979, S. 83 Anm. 7 und S. 409 Anm. 28), STUTZER (Die Kautionspflicht im ordentlichen zürcherischen Zivilprozess, Diss. Zürich 1980, S. 18) und ISLER (Die Kautionspflicht im schweizerischen Zivilprozessrecht, Diss. Zürich 1967, S. 17). Dass der verfahrensrechtliche Wohnsitzbegriff einen effektiven Wohnsitz voraussetzt, ergibt sich ferner auch aus Rechtsprechung und Lehre zu Art. 59 BV sowie zu Art. 48 und Art. 271 Ziff. 1 und 4 SchKG ( BGE 96 I 148 E. 4b; 65 III 103 ; BGE 29 I 424 E. 2; FRITZSCHE, Schuldbetreibung und Konkurs nach schweizerischem Recht, Bd. II, 2. Aufl. 1968, S. 203 f. Anm. 273; JAEGER, Kommentar zum SchKG, N 8 zu Art. 271). Nach einhelliger Auffassung genügt demnach ein bloss fiktiver Wohnsitz nicht, um die Kautionspflicht einer Prozesspartei wegen mangelnden Wohnsitzes in der Schweiz auszuschliessen. Jede andere Lösung würde denn auch zu unhaltbaren Ergebnissen führen. Die Beschwerdeführerin macht zu Recht geltend, die Annahme, auch ein fiktiver Wohnsitz in der Schweiz vermöge von der Sicherstellungspflicht zu befreien, hätte zur Folge, dass der Kläger oder Widerkläger, der beim Wegzug aus der Schweiz im Ausland einen neuen Wohnsitz begründet, schlechtergestellt würde als jener, der sich in der Schweiz abmeldet und nirgends eine Wohnadresse hat oder diese dem Richter nicht meldet. Das aber wäre mit dem Sinn und Zweck der Kautionspflicht nicht zu vereinbaren, soll diese doch gerade verhindern, dass sich der Beklagte vor Gericht auf die BGE 117 Ia 292 S. 295 Forderungen eines Klägers einlassen muss, der bei Unterliegen für die Prozesskosten nirgends belangt werden kann. c) Das Obergericht verletzt somit in krasser Weise einen unumstrittenen Rechtsgrundsatz, wenn es den fiktiven Wohnsitz des Beschwerdegegners als Ausschlussgrund für die Kautionspflicht gelten lässt. Der angefochtene Entscheid erweist sich als willkürlich. Er ist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